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D" w:rsidRPr="00A6680D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A6680D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A6680D" w:rsidRPr="00A6680D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A6680D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A6680D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6680D">
        <w:rPr>
          <w:rFonts w:ascii="Times New Roman" w:hAnsi="Times New Roman" w:cs="Times New Roman"/>
          <w:b/>
          <w:sz w:val="28"/>
          <w:szCs w:val="28"/>
        </w:rPr>
        <w:t xml:space="preserve">: premiya2015@mail.ru </w:t>
      </w:r>
    </w:p>
    <w:p w:rsidR="00A6680D" w:rsidRPr="00A6680D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A6680D">
        <w:rPr>
          <w:rFonts w:ascii="Times New Roman" w:hAnsi="Times New Roman" w:cs="Times New Roman"/>
          <w:b/>
          <w:sz w:val="28"/>
          <w:szCs w:val="28"/>
        </w:rPr>
        <w:t>Контакты координаторов Премии "Наше Подмосковье" в муниципальных образованиях:</w:t>
      </w:r>
    </w:p>
    <w:p w:rsidR="00A6680D" w:rsidRDefault="00A6680D" w:rsidP="00A6680D"/>
    <w:tbl>
      <w:tblPr>
        <w:tblW w:w="13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5481"/>
        <w:gridCol w:w="5136"/>
      </w:tblGrid>
      <w:tr w:rsidR="00A6680D" w:rsidRPr="00A6680D" w:rsidTr="00A6680D">
        <w:trPr>
          <w:trHeight w:val="1605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Ответственный за прием заявок (ФИО, должность, телефон, e-</w:t>
            </w: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mail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Адрес местонахождения пунктов приема заявок</w:t>
            </w:r>
          </w:p>
        </w:tc>
      </w:tr>
      <w:tr w:rsidR="00A6680D" w:rsidRPr="00A6680D" w:rsidTr="00A6680D">
        <w:trPr>
          <w:trHeight w:val="1605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Власиха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 xml:space="preserve"> городской округ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Ташкус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 xml:space="preserve"> Милена Сергеевна, заместитель начальника отдела по делам молодежи, культуре, спорту и социальной поддержке населения в управлении </w:t>
            </w:r>
            <w:proofErr w:type="gram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по</w:t>
            </w:r>
            <w:proofErr w:type="gram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 xml:space="preserve"> социальным </w:t>
            </w: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вопрсам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 xml:space="preserve">Московская область, п. </w:t>
            </w: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Власиха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 xml:space="preserve">, ул. Маршала Жукова, д. 9, </w:t>
            </w: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каб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. 12</w:t>
            </w:r>
          </w:p>
        </w:tc>
      </w:tr>
      <w:tr w:rsidR="00A6680D" w:rsidRPr="00A6680D" w:rsidTr="00A6680D">
        <w:trPr>
          <w:trHeight w:val="1605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Одинцовский муниципальный район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Ахметова Виктория Алексеевна – главный специалист отдела по работе с территориями Управления внутренней политики Администрации Одинцовского муниципального района, тел.: 8 (495) 593 11 44; E-</w:t>
            </w: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mail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: v_ahmetova@odin.ru</w:t>
            </w:r>
          </w:p>
        </w:tc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680D" w:rsidRPr="00A6680D" w:rsidRDefault="00A6680D" w:rsidP="00A6680D">
            <w:pPr>
              <w:spacing w:after="150" w:line="300" w:lineRule="atLeast"/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 xml:space="preserve">МО, г. Одинцово, ул. Маршала Жукова, д. 28, </w:t>
            </w:r>
            <w:proofErr w:type="spellStart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каб</w:t>
            </w:r>
            <w:proofErr w:type="spellEnd"/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. 109 (Администрация Одинцовского муниципального района)</w:t>
            </w:r>
          </w:p>
        </w:tc>
      </w:tr>
    </w:tbl>
    <w:p w:rsidR="00D829BF" w:rsidRDefault="00D829BF" w:rsidP="00A6680D"/>
    <w:p w:rsidR="00A6680D" w:rsidRDefault="00A6680D" w:rsidP="00A6680D"/>
    <w:p w:rsidR="00A6680D" w:rsidRPr="00A6680D" w:rsidRDefault="00A6680D" w:rsidP="00A6680D">
      <w:pPr>
        <w:spacing w:after="0" w:line="300" w:lineRule="atLeast"/>
        <w:jc w:val="center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303030"/>
          <w:sz w:val="54"/>
          <w:szCs w:val="54"/>
          <w:shd w:val="clear" w:color="auto" w:fill="FFFFFF"/>
          <w:lang w:eastAsia="ru-RU"/>
        </w:rPr>
        <w:lastRenderedPageBreak/>
        <w:t>О премии</w:t>
      </w:r>
    </w:p>
    <w:p w:rsidR="00A6680D" w:rsidRP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  <w:r w:rsidRPr="00A6680D"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  <w:t>ОБЩИЕ СВЕДЕНИЯ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  За 2 года проведения конкурса на соискание Премии были поданы более 20 000 проектов, 3000 заявителей получили премии до 500 000 рублей. Премия «Наше Подмосковье» проводится в Московской области ежегодно в период с 15 мая до 4 ноября. </w:t>
      </w:r>
    </w:p>
    <w:p w:rsidR="00A6680D" w:rsidRP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  <w:r w:rsidRPr="00A6680D"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  <w:t>УСЛОВИЯ УЧАСТИЯ</w:t>
      </w:r>
    </w:p>
    <w:p w:rsidR="00A6680D" w:rsidRPr="00A6680D" w:rsidRDefault="00A6680D" w:rsidP="00A6680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Заявитель должен достигнуть совершеннолетия.</w:t>
      </w:r>
    </w:p>
    <w:p w:rsidR="00A6680D" w:rsidRPr="00A6680D" w:rsidRDefault="00A6680D" w:rsidP="00A6680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Заявитель должен постоянно или временно проживать на территории Московской области.</w:t>
      </w:r>
    </w:p>
    <w:p w:rsidR="00A6680D" w:rsidRPr="00A6680D" w:rsidRDefault="00A6680D" w:rsidP="00A6680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Заявка должна соответствовать требованиям, указанным в текущей </w:t>
      </w:r>
      <w:proofErr w:type="spell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редации</w:t>
      </w:r>
      <w:proofErr w:type="spell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Положения о ежегодных премиях Губернатора Московской области "Наше Подмосковье".</w:t>
      </w:r>
    </w:p>
    <w:p w:rsidR="00A6680D" w:rsidRPr="00A6680D" w:rsidRDefault="00A6680D" w:rsidP="00A6680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На период оформления заявки на соискание Премии проект должен уже быть реализован или находиться в стадии реализации.</w:t>
      </w:r>
    </w:p>
    <w:p w:rsidR="00A6680D" w:rsidRPr="00A6680D" w:rsidRDefault="00A6680D" w:rsidP="00A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6680D">
          <w:rPr>
            <w:rFonts w:ascii="Tahoma" w:eastAsia="Times New Roman" w:hAnsi="Tahoma" w:cs="Tahoma"/>
            <w:color w:val="212121"/>
            <w:sz w:val="21"/>
            <w:szCs w:val="21"/>
            <w:shd w:val="clear" w:color="auto" w:fill="F1F3F4"/>
            <w:lang w:eastAsia="ru-RU"/>
          </w:rPr>
          <w:t>Положение о ежегодных премиях Губернатора Московской области «Наше Подмосковье». (</w:t>
        </w:r>
        <w:proofErr w:type="spellStart"/>
        <w:r w:rsidRPr="00A6680D">
          <w:rPr>
            <w:rFonts w:ascii="Tahoma" w:eastAsia="Times New Roman" w:hAnsi="Tahoma" w:cs="Tahoma"/>
            <w:color w:val="212121"/>
            <w:sz w:val="21"/>
            <w:szCs w:val="21"/>
            <w:shd w:val="clear" w:color="auto" w:fill="F1F3F4"/>
            <w:lang w:eastAsia="ru-RU"/>
          </w:rPr>
          <w:t>pdf</w:t>
        </w:r>
        <w:proofErr w:type="spellEnd"/>
        <w:r w:rsidRPr="00A6680D">
          <w:rPr>
            <w:rFonts w:ascii="Tahoma" w:eastAsia="Times New Roman" w:hAnsi="Tahoma" w:cs="Tahoma"/>
            <w:color w:val="212121"/>
            <w:sz w:val="21"/>
            <w:szCs w:val="21"/>
            <w:shd w:val="clear" w:color="auto" w:fill="F1F3F4"/>
            <w:lang w:eastAsia="ru-RU"/>
          </w:rPr>
          <w:t>, 3,99 Мб)</w:t>
        </w:r>
      </w:hyperlink>
    </w:p>
    <w:p w:rsid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</w:p>
    <w:p w:rsid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</w:p>
    <w:p w:rsid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</w:p>
    <w:p w:rsid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</w:p>
    <w:p w:rsid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</w:p>
    <w:p w:rsidR="00A6680D" w:rsidRP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  <w:r w:rsidRPr="00A6680D"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  <w:lastRenderedPageBreak/>
        <w:t>РАЗМЕР ПРИЗОВОГО ФОНДА</w:t>
      </w:r>
    </w:p>
    <w:p w:rsidR="00A6680D" w:rsidRPr="00A6680D" w:rsidRDefault="00A6680D" w:rsidP="00A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shd w:val="clear" w:color="auto" w:fill="FFFFFF"/>
          <w:lang w:eastAsia="ru-RU"/>
        </w:rPr>
        <w:t>Общий размер призового фонда составляет 180 000 000 рублей.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Количество победителей составит 1945.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В номинации Спасибо Деду за Победу</w:t>
      </w: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ежегодные премии присуждаются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A6680D" w:rsidRPr="00A6680D" w:rsidTr="00A6680D">
        <w:trPr>
          <w:gridAfter w:val="2"/>
          <w:wAfter w:w="49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0" w:line="300" w:lineRule="atLeas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Размер премии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Количество премий</w:t>
            </w: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I премия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335 000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 премия</w:t>
            </w: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II премия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65 премий</w:t>
            </w: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III премия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160 премий</w:t>
            </w:r>
          </w:p>
        </w:tc>
      </w:tr>
    </w:tbl>
    <w:p w:rsidR="00A6680D" w:rsidRPr="00A6680D" w:rsidRDefault="00A6680D" w:rsidP="00A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br/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В каждой из остальных номинаций: </w:t>
      </w: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(Творческое Подмосковье, Доброе сердце, Наследие Подмосковья, Гражданский диалог, Облик Подмосковья, Новые возможности, Активное Подмосковье</w:t>
      </w: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,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Экология Подмосковья , Больше чем профессия) ежегодные премии присуждаются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A6680D" w:rsidRPr="00A6680D" w:rsidTr="00A6680D">
        <w:trPr>
          <w:gridAfter w:val="2"/>
          <w:wAfter w:w="49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0" w:line="300" w:lineRule="atLeast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Размер премии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Количество премий</w:t>
            </w: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I премия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335 000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 премия</w:t>
            </w: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II премия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50 премий</w:t>
            </w:r>
          </w:p>
        </w:tc>
      </w:tr>
      <w:tr w:rsidR="00A6680D" w:rsidRPr="00A6680D" w:rsidTr="00A6680D">
        <w:trPr>
          <w:trHeight w:val="58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lang w:eastAsia="ru-RU"/>
              </w:rPr>
              <w:t>III премия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80D" w:rsidRPr="00A6680D" w:rsidRDefault="00A6680D" w:rsidP="00A6680D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</w:pPr>
            <w:r w:rsidRPr="00A6680D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ru-RU"/>
              </w:rPr>
              <w:t>140 премий</w:t>
            </w:r>
          </w:p>
        </w:tc>
      </w:tr>
    </w:tbl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</w:p>
    <w:p w:rsidR="00A6680D" w:rsidRP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  <w:r w:rsidRPr="00A6680D"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  <w:lastRenderedPageBreak/>
        <w:t>ЭТАПЫ ПРОВЕДЕНИЯ ПРЕМИИ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I этап. Прием заявок. 15 мая – 30 августа.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Заявки на участие в Премии принимаются:</w:t>
      </w:r>
    </w:p>
    <w:p w:rsidR="00A6680D" w:rsidRPr="00A6680D" w:rsidRDefault="00A6680D" w:rsidP="00A6680D">
      <w:pPr>
        <w:numPr>
          <w:ilvl w:val="0"/>
          <w:numId w:val="2"/>
        </w:numPr>
        <w:spacing w:after="150" w:line="333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Онлайн на сайте наше-</w:t>
      </w:r>
      <w:proofErr w:type="spell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подмосковье</w:t>
      </w: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.р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ф</w:t>
      </w:r>
      <w:proofErr w:type="spell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Pr="00A6680D" w:rsidRDefault="00A6680D" w:rsidP="00A6680D">
      <w:pPr>
        <w:numPr>
          <w:ilvl w:val="0"/>
          <w:numId w:val="2"/>
        </w:numPr>
        <w:spacing w:after="150" w:line="333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формате </w:t>
      </w:r>
      <w:hyperlink r:id="rId7" w:history="1">
        <w:r w:rsidRPr="00A6680D">
          <w:rPr>
            <w:rFonts w:ascii="Tahoma" w:eastAsia="Times New Roman" w:hAnsi="Tahoma" w:cs="Tahoma"/>
            <w:b/>
            <w:bCs/>
            <w:color w:val="006388"/>
            <w:sz w:val="21"/>
            <w:szCs w:val="21"/>
            <w:lang w:eastAsia="ru-RU"/>
          </w:rPr>
          <w:t>excel-анкеты</w:t>
        </w:r>
      </w:hyperlink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на почту </w:t>
      </w:r>
      <w:hyperlink r:id="rId8" w:history="1">
        <w:r w:rsidRPr="00A6680D">
          <w:rPr>
            <w:rFonts w:ascii="Tahoma" w:eastAsia="Times New Roman" w:hAnsi="Tahoma" w:cs="Tahoma"/>
            <w:color w:val="006388"/>
            <w:sz w:val="21"/>
            <w:szCs w:val="21"/>
            <w:lang w:eastAsia="ru-RU"/>
          </w:rPr>
          <w:t>premiya2015@mail.ru</w:t>
        </w:r>
      </w:hyperlink>
    </w:p>
    <w:p w:rsidR="00A6680D" w:rsidRPr="00A6680D" w:rsidRDefault="00A6680D" w:rsidP="00A6680D">
      <w:pPr>
        <w:numPr>
          <w:ilvl w:val="0"/>
          <w:numId w:val="2"/>
        </w:numPr>
        <w:spacing w:after="150" w:line="333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На бумажном носителе в </w:t>
      </w:r>
      <w:hyperlink r:id="rId9" w:history="1">
        <w:r w:rsidRPr="00A6680D">
          <w:rPr>
            <w:rFonts w:ascii="Tahoma" w:eastAsia="Times New Roman" w:hAnsi="Tahoma" w:cs="Tahoma"/>
            <w:color w:val="006388"/>
            <w:sz w:val="21"/>
            <w:szCs w:val="21"/>
            <w:lang w:eastAsia="ru-RU"/>
          </w:rPr>
          <w:t>пункте приема заявлений вашего муниципального образования</w:t>
        </w:r>
      </w:hyperlink>
    </w:p>
    <w:p w:rsidR="00A6680D" w:rsidRDefault="00A6680D" w:rsidP="00A6680D">
      <w:pPr>
        <w:spacing w:after="0" w:line="240" w:lineRule="auto"/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</w:pPr>
    </w:p>
    <w:p w:rsidR="00A6680D" w:rsidRPr="00A6680D" w:rsidRDefault="00A6680D" w:rsidP="00A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0D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II этап. Оценка проектов. 1 сентября – 4 ноября.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Оценка </w:t>
      </w: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проектов, поданных на соискание Премии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будет осуществляться членами экспертного совета. Состав Совета формируется из представителей от каждой фракции в Московской областной Думе, общественных советов при исполнительных органах государственной власти Московской области, Общественной палаты Московской области и утверждается распоряжением Губернатора Московской области. На основе результатов экспертной оценки будет сформирован список лауреатов Премии.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III этап. Награждение победителей. 26 ноября.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Церемония награждения победителей Премии пройдет в муниципальном образовании, от которого будет подано наибольшее количество проектов. </w:t>
      </w:r>
    </w:p>
    <w:p w:rsidR="00A6680D" w:rsidRPr="00A6680D" w:rsidRDefault="00A6680D" w:rsidP="00A6680D">
      <w:pPr>
        <w:pBdr>
          <w:bottom w:val="single" w:sz="12" w:space="0" w:color="000000"/>
        </w:pBdr>
        <w:spacing w:before="300" w:after="150" w:line="240" w:lineRule="auto"/>
        <w:outlineLvl w:val="2"/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</w:pPr>
      <w:r w:rsidRPr="00A6680D">
        <w:rPr>
          <w:rFonts w:ascii="Calibri" w:eastAsia="Times New Roman" w:hAnsi="Calibri" w:cs="Times New Roman"/>
          <w:caps/>
          <w:color w:val="212121"/>
          <w:spacing w:val="-15"/>
          <w:sz w:val="36"/>
          <w:szCs w:val="36"/>
          <w:lang w:eastAsia="ru-RU"/>
        </w:rPr>
        <w:t>НОМИНАЦИИ ПРЕМИИ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1. Спасибо деду за победу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сохранение памяти о событиях Великой Отечественной войны, локальных воин и вооруженных конфликтов, создание фото, аудио, видео архивов, патриотическое воспитание граждан, создание поисковых, военно-патриотических клубов.</w:t>
      </w:r>
    </w:p>
    <w:p w:rsidR="00A6680D" w:rsidRPr="00A6680D" w:rsidRDefault="00A6680D" w:rsidP="00A6680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с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охранение памяти о событиях Великой Отечественной войны с помощью создания фото и видео архивов, частных музеев, реконструкцию памятников воинам ВОВ;</w:t>
      </w:r>
    </w:p>
    <w:p w:rsidR="00A6680D" w:rsidRPr="00A6680D" w:rsidRDefault="00A6680D" w:rsidP="00A6680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создание художественных арт-проектов, посвященных событиям ВОВ, тематических интернет-сайтов;</w:t>
      </w:r>
    </w:p>
    <w:p w:rsidR="00A6680D" w:rsidRPr="00A6680D" w:rsidRDefault="00A6680D" w:rsidP="00A6680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lastRenderedPageBreak/>
        <w:t>проведение поисковых работ,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создание поисковых клубов;</w:t>
      </w:r>
      <w:proofErr w:type="gramEnd"/>
    </w:p>
    <w:p w:rsidR="00A6680D" w:rsidRPr="00A6680D" w:rsidRDefault="00A6680D" w:rsidP="00A6680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деятельность в сфере патриотического, в том числе военно-патриотического, воспитания граждан, привлечение ветеранов ВОВ к гражданскому воспитанию молодого поколения, создание военно-патриотических клубов;</w:t>
      </w:r>
    </w:p>
    <w:p w:rsidR="00A6680D" w:rsidRPr="00A6680D" w:rsidRDefault="00A6680D" w:rsidP="00A6680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проведение встреч, мероприятий, тематических лекций, акций, посвященных Победе в ВОВ.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2. Новые возможности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за проекты, направленные на развитие социальных инициатив малого предпринимательства, </w:t>
      </w:r>
      <w:proofErr w:type="spell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импортозамещение</w:t>
      </w:r>
      <w:proofErr w:type="spell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, внедрение инноваций в повседневную жизнь, создание дополнительных рабочих мест.</w:t>
      </w:r>
    </w:p>
    <w:p w:rsidR="00A6680D" w:rsidRPr="00A6680D" w:rsidRDefault="00A6680D" w:rsidP="00A6680D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вклад в развитие малого предпринимательства, обеспечивающих </w:t>
      </w:r>
      <w:proofErr w:type="spell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импортозамещение</w:t>
      </w:r>
      <w:proofErr w:type="spell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, сельского хозяйства и фермерства, проведение социальных </w:t>
      </w: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бизнес-проектов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и программ, тренингов, семинаров, консультирований, направленных на развитие малого предпринимательства;</w:t>
      </w:r>
    </w:p>
    <w:p w:rsidR="00A6680D" w:rsidRPr="00A6680D" w:rsidRDefault="00A6680D" w:rsidP="00A6680D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социальных инициатив малого предпринимательства;</w:t>
      </w:r>
    </w:p>
    <w:p w:rsidR="00A6680D" w:rsidRPr="00A6680D" w:rsidRDefault="00A6680D" w:rsidP="00A6680D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внедрение инноваций в повседневную жизнь;</w:t>
      </w:r>
    </w:p>
    <w:p w:rsidR="00A6680D" w:rsidRPr="00A6680D" w:rsidRDefault="00A6680D" w:rsidP="00A6680D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обеспечение прохождения студентами (выпускниками) учреждений среднего профессионального и высшего образования практики и стажировки в организации.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3. Доброе сердце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развитие волонтерской деятельности, оказание добровольной помощи социально незащищенным слоям населения и их социализацию.</w:t>
      </w:r>
    </w:p>
    <w:p w:rsidR="00A6680D" w:rsidRPr="00A6680D" w:rsidRDefault="00A6680D" w:rsidP="00A668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деятельности граждан по оказанию помощи, оказание ухода за инвалидами на безвозмездной основе, поддержка людей пожилого возраста, проведение мероприятий по профилактике и предотвращению социального сиротства, содействие семейному устройству детей-сирот, детей из неблагополучных семей, вовлечение их в социально значимую деятельность, поддержка и защита материнства и детства;</w:t>
      </w:r>
    </w:p>
    <w:p w:rsidR="00A6680D" w:rsidRPr="00A6680D" w:rsidRDefault="00A6680D" w:rsidP="00A668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создание ветеранами, инвалидами, людьми пожилого возраста социально значимых групп по интересам, клубов и ветеранских организаций, активное вовлечение в социальные процессы общества;</w:t>
      </w:r>
    </w:p>
    <w:p w:rsidR="00A6680D" w:rsidRPr="00A6680D" w:rsidRDefault="00A6680D" w:rsidP="00A668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lastRenderedPageBreak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6680D" w:rsidRPr="00A6680D" w:rsidRDefault="00A6680D" w:rsidP="00A6680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благотворительности, а также деятельности в области добровольчества.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4. Наследие Подмосковья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культурное, историческое, религиозное просвещение и образование граждан, сохранение исторического наследия Подмосковья и самобытности традиций народов.</w:t>
      </w:r>
    </w:p>
    <w:p w:rsidR="00A6680D" w:rsidRPr="00A6680D" w:rsidRDefault="00A6680D" w:rsidP="00A668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деятельности в области образования, создания художественных произведений, исторических книг, учебников;</w:t>
      </w:r>
    </w:p>
    <w:p w:rsidR="00A6680D" w:rsidRPr="00A6680D" w:rsidRDefault="00A6680D" w:rsidP="00A668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религиозное просвещение граждан;</w:t>
      </w:r>
    </w:p>
    <w:p w:rsidR="00A6680D" w:rsidRPr="00A6680D" w:rsidRDefault="00A6680D" w:rsidP="00A668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развитие межнационального сотрудничества, сохранение и защита народной самобытности, культуры, языков и традиций, социальная и культурная </w:t>
      </w: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адаптация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и интеграция мигрантов, укрепление межконфессиональных связей, отношений между породнёнными городами, поддержка землячеств;</w:t>
      </w:r>
    </w:p>
    <w:p w:rsidR="00A6680D" w:rsidRPr="00A6680D" w:rsidRDefault="00A6680D" w:rsidP="00A6680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краеведения, частного музейного и библиотечного дела.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5. Творческое Подмосковье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творческое самовыражение граждан Подмосковья в сфере искусства.</w:t>
      </w:r>
    </w:p>
    <w:p w:rsidR="00A6680D" w:rsidRPr="00A6680D" w:rsidRDefault="00A6680D" w:rsidP="00A668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с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оздание гражданами арт-проектов в области пространственного, пластического, динамического и зрелищного искусства, создание кружков, секций, деятельность творческих коллективов;</w:t>
      </w:r>
    </w:p>
    <w:p w:rsidR="00A6680D" w:rsidRPr="00A6680D" w:rsidRDefault="00A6680D" w:rsidP="00A6680D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художественных промыслов и ремесел Подмосковья.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lastRenderedPageBreak/>
        <w:t>6. Гражданский диалог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организацию диалога власти и общества, обеспечение открытости власти и общественный контроль</w:t>
      </w:r>
      <w:r w:rsidRPr="00A6680D">
        <w:rPr>
          <w:rFonts w:ascii="Tahoma" w:eastAsia="Times New Roman" w:hAnsi="Tahoma" w:cs="Tahoma"/>
          <w:i/>
          <w:iCs/>
          <w:color w:val="212121"/>
          <w:sz w:val="21"/>
          <w:szCs w:val="21"/>
          <w:lang w:eastAsia="ru-RU"/>
        </w:rPr>
        <w:t>.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роведение мероприятий, круглых столов для организации диалога власти и общества, обеспечение открытости власти с помощью развития проектов в области СМИ, медиа, создание интернет-проектов и печатных изданий;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обеспечение общественной безопасности и личной безопасности граждан;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контроль качества предоставления услуг в медицинских, образовательных учреждениях, а также в учреждениях в сфере торговли и общественного питания, частной предпринимательской деятельности, контроль цен;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контроль проведения дорожных работ, выявление опасных пешеходных переходов, повышение качества государственных и муниципальных услуг по обеспечению безопасности дорожного движения. 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борьба с незаконной продажей алкогольной, табачной продукции и наркотических средств;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повышение правовой грамотности населения в области самоуправления, формирование в обществе нетерпимости к коррупционному поведению с помощью просвещения;</w:t>
      </w:r>
    </w:p>
    <w:p w:rsidR="00A6680D" w:rsidRPr="00A6680D" w:rsidRDefault="00A6680D" w:rsidP="00A6680D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успешная деятельность в рамках созданных советах многоквартирных домов, ТСЖ, контроль жилищно-коммунального хозяйства, контроль в интересах общества за деятельностью управляющих компаний.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7. Активное Подмосковье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поддержку здорового образа жизни граждан, развитие молодежных и спортивных движений, туризма и активного отдыха.</w:t>
      </w:r>
    </w:p>
    <w:p w:rsidR="00A6680D" w:rsidRPr="00A6680D" w:rsidRDefault="00A6680D" w:rsidP="00A6680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азвитие молодежной среды, студенческих советов и молодежных движений, сообществ;</w:t>
      </w:r>
    </w:p>
    <w:p w:rsidR="00A6680D" w:rsidRPr="00A6680D" w:rsidRDefault="00A6680D" w:rsidP="00A6680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вовлечение граждан в деятельность по развитию досуга, массового и дворового спорта;</w:t>
      </w:r>
    </w:p>
    <w:p w:rsidR="00A6680D" w:rsidRPr="00A6680D" w:rsidRDefault="00A6680D" w:rsidP="00A6680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проведение мероприятий, акций по развитию физической культуры и спорта;</w:t>
      </w:r>
    </w:p>
    <w:p w:rsidR="00A6680D" w:rsidRPr="00A6680D" w:rsidRDefault="00A6680D" w:rsidP="00A6680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развитие туризма и популяризацию активного отдыха;</w:t>
      </w:r>
    </w:p>
    <w:p w:rsidR="00A6680D" w:rsidRPr="00A6680D" w:rsidRDefault="00A6680D" w:rsidP="00A6680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охрану здоровья граждан и поддержку здорового образа жизни.</w:t>
      </w:r>
    </w:p>
    <w:p w:rsid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lastRenderedPageBreak/>
        <w:t>8. Облик Подмосковья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благоустройство домовых и придомовых территорий, парков и объектов культурного значения, обеспечение доступной среды.</w:t>
      </w:r>
    </w:p>
    <w:p w:rsidR="00A6680D" w:rsidRPr="00A6680D" w:rsidRDefault="00A6680D" w:rsidP="00A6680D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благоустройство домовых и придомовых территорий, обустройство детских площадок, стоянок, восстановление подъездов;</w:t>
      </w:r>
    </w:p>
    <w:p w:rsidR="00A6680D" w:rsidRPr="00A6680D" w:rsidRDefault="00A6680D" w:rsidP="00A6680D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обустройство и развитие зон отдыха Подмосковья, благоустройство парков;</w:t>
      </w:r>
    </w:p>
    <w:p w:rsidR="00A6680D" w:rsidRPr="00A6680D" w:rsidRDefault="00A6680D" w:rsidP="00A6680D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формирование единого облика города, создание, содержание, развитие, сохранение объектов благоустройства и территорий, имеющих историческое, культурное значение, обеспечение доступности территорий общего пользования, развитие доступной среды для людей с ограниченными возможностями.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9. Экология Подмосковья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направленные на охрану окружающей среды и сохранение чистоты территории Подмосковья.</w:t>
      </w:r>
    </w:p>
    <w:p w:rsidR="00A6680D" w:rsidRPr="00A6680D" w:rsidRDefault="00A6680D" w:rsidP="00A6680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роведение субботников, акций по высадке деревьев, озеленению территорий;</w:t>
      </w:r>
    </w:p>
    <w:p w:rsidR="00A6680D" w:rsidRPr="00A6680D" w:rsidRDefault="00A6680D" w:rsidP="00A6680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участие в профилактике и (или) тушении лесных пожаров и проведении аварийно-спасательных работ (добровольчество);</w:t>
      </w:r>
    </w:p>
    <w:p w:rsidR="00A6680D" w:rsidRPr="00A6680D" w:rsidRDefault="00A6680D" w:rsidP="00A6680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просвещение граждан по вопросу защиты окружающей среды, проведение экологического мониторинга;</w:t>
      </w:r>
    </w:p>
    <w:p w:rsidR="00A6680D" w:rsidRPr="00A6680D" w:rsidRDefault="00A6680D" w:rsidP="00A6680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вклад в защиту и сохранение лесопарковых и водных зон Подмосковья;</w:t>
      </w:r>
    </w:p>
    <w:p w:rsidR="00A6680D" w:rsidRPr="00A6680D" w:rsidRDefault="00A6680D" w:rsidP="00A6680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борьба с незаконными свалками, разработку и внедрение технологий раздельного сбора мусора и его переработки.</w:t>
      </w:r>
    </w:p>
    <w:p w:rsidR="00A6680D" w:rsidRPr="00A6680D" w:rsidRDefault="00A6680D" w:rsidP="00A6680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защита бездомных животных, создание частных приютов.</w:t>
      </w:r>
    </w:p>
    <w:p w:rsidR="00A6680D" w:rsidRPr="00A6680D" w:rsidRDefault="00A6680D" w:rsidP="00A6680D">
      <w:pPr>
        <w:shd w:val="clear" w:color="auto" w:fill="F9F9F9"/>
        <w:spacing w:line="240" w:lineRule="auto"/>
        <w:rPr>
          <w:rFonts w:ascii="Tahoma" w:eastAsia="Times New Roman" w:hAnsi="Tahoma" w:cs="Tahoma"/>
          <w:color w:val="212121"/>
          <w:sz w:val="26"/>
          <w:szCs w:val="26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6"/>
          <w:szCs w:val="26"/>
          <w:lang w:eastAsia="ru-RU"/>
        </w:rPr>
        <w:t>10. Больше, чем профессия</w:t>
      </w:r>
    </w:p>
    <w:p w:rsidR="00A6680D" w:rsidRPr="00A6680D" w:rsidRDefault="00A6680D" w:rsidP="00A6680D">
      <w:pPr>
        <w:spacing w:after="150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за проекты, осуществляемые в рамках профессиональной деятельности на добровольческой основе, в свободное от работы время.</w:t>
      </w:r>
    </w:p>
    <w:p w:rsidR="00A6680D" w:rsidRPr="00A6680D" w:rsidRDefault="00A6680D" w:rsidP="00A6680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proofErr w:type="gramStart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</w:t>
      </w:r>
      <w:proofErr w:type="gramEnd"/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сфере здравоохранения;</w:t>
      </w:r>
    </w:p>
    <w:p w:rsidR="00A6680D" w:rsidRPr="00A6680D" w:rsidRDefault="00A6680D" w:rsidP="00A6680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сфере социальной защиты населения;</w:t>
      </w:r>
    </w:p>
    <w:p w:rsidR="00A6680D" w:rsidRPr="00A6680D" w:rsidRDefault="00A6680D" w:rsidP="00A6680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сфере образования;</w:t>
      </w:r>
    </w:p>
    <w:p w:rsidR="00A6680D" w:rsidRPr="00A6680D" w:rsidRDefault="00A6680D" w:rsidP="00A6680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сфере культуры;</w:t>
      </w:r>
    </w:p>
    <w:p w:rsidR="00A6680D" w:rsidRPr="00A6680D" w:rsidRDefault="00A6680D" w:rsidP="00A6680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сфере спорта и молодежной политики;</w:t>
      </w:r>
    </w:p>
    <w:p w:rsidR="00A6680D" w:rsidRPr="00A6680D" w:rsidRDefault="00A6680D" w:rsidP="00A6680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12121"/>
          <w:sz w:val="21"/>
          <w:szCs w:val="21"/>
          <w:lang w:eastAsia="ru-RU"/>
        </w:rPr>
      </w:pPr>
      <w:r w:rsidRPr="00A6680D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сфере ж</w:t>
      </w:r>
      <w:r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илищно-коммунального хозяйства.</w:t>
      </w:r>
      <w:bookmarkStart w:id="0" w:name="_GoBack"/>
      <w:bookmarkEnd w:id="0"/>
    </w:p>
    <w:sectPr w:rsidR="00A6680D" w:rsidRPr="00A6680D" w:rsidSect="00A66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19"/>
    <w:multiLevelType w:val="multilevel"/>
    <w:tmpl w:val="47A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3D03"/>
    <w:multiLevelType w:val="multilevel"/>
    <w:tmpl w:val="9F3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255F8"/>
    <w:multiLevelType w:val="multilevel"/>
    <w:tmpl w:val="B13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B0A07"/>
    <w:multiLevelType w:val="multilevel"/>
    <w:tmpl w:val="A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809F6"/>
    <w:multiLevelType w:val="multilevel"/>
    <w:tmpl w:val="99C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54C79"/>
    <w:multiLevelType w:val="multilevel"/>
    <w:tmpl w:val="076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C79B3"/>
    <w:multiLevelType w:val="multilevel"/>
    <w:tmpl w:val="420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1605A"/>
    <w:multiLevelType w:val="multilevel"/>
    <w:tmpl w:val="688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171E0"/>
    <w:multiLevelType w:val="multilevel"/>
    <w:tmpl w:val="BF5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1F3"/>
    <w:multiLevelType w:val="multilevel"/>
    <w:tmpl w:val="C90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624D2"/>
    <w:multiLevelType w:val="multilevel"/>
    <w:tmpl w:val="69F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84F95"/>
    <w:multiLevelType w:val="multilevel"/>
    <w:tmpl w:val="B69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D"/>
    <w:rsid w:val="00A6680D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3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285937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943152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13045043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38214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10050609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1325091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8781308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9241478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  <w:div w:id="1505852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CCCCCC"/>
            <w:bottom w:val="none" w:sz="0" w:space="0" w:color="auto"/>
            <w:right w:val="none" w:sz="0" w:space="0" w:color="auto"/>
          </w:divBdr>
        </w:div>
      </w:divsChild>
    </w:div>
    <w:div w:id="1378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ya20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7sbhhdd7apencbh6a5g9c.xn--p1ai/simple_form/np2015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hhdd7apencbh6a5g9c.xn--p1ai/about/%D0%9F%D0%BE%D0%BB%D0%BE%D0%B6%D0%B5%D0%BD%D0%B8%D0%B5%20%D0%BE%20%D0%B5%D0%B6%D0%B5%D0%B3%D0%BE%D0%B4%D0%BD%D1%8B%D1%85%20%D0%BF%D1%80%D0%B5%D0%BC%D0%B8%D1%8F%D1%85%20%D0%93%D1%83%D0%B1%D0%B5%D1%80%D0%BD%D0%B0%D1%82%D0%BE%D1%80%D0%B0%20%D0%9C%D0%BE%D1%81%D0%BA%D0%BE%D0%B2%D1%81%D0%BA%D0%BE%D0%B9%20%D0%BE%D0%B1%D0%BB%D0%B0%D1%81%D1%82%D0%B8%20%C2%AB%D0%9D%D0%B0%D1%88%D0%B5%20%D0%9F%D0%BE%D0%B4%D0%BC%D0%BE%D1%81%D0%BA%D0%BE%D0%B2%D1%8C%D0%B5%C2%BB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hhdd7apencbh6a5g9c.xn--p1ai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Лакеева Елена Игоревна</dc:creator>
  <cp:lastModifiedBy>Лакеева Елена Игоревна</cp:lastModifiedBy>
  <cp:revision>1</cp:revision>
  <dcterms:created xsi:type="dcterms:W3CDTF">2015-05-26T11:54:00Z</dcterms:created>
  <dcterms:modified xsi:type="dcterms:W3CDTF">2015-05-26T12:00:00Z</dcterms:modified>
</cp:coreProperties>
</file>